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kzlj3c5opk5r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Кодекс Стейкхолдерів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2m4szm0au3z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Розділ 1: Місія та Візія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htiugv71jk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Місія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Забезпечити інноваційні рішення, що покращують якість життя клієнтів, створюючи стійкий та прибутковий бізнес.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saivqj43jwa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Візія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Стати лідером у галузі, досягти глобального впливу та залишити позитивний слід на ринку.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kf6wirzekhr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Розділ 2: Команда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p5l9o6icfgl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Посадові інструкції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Обов'язки:</w:t>
      </w:r>
      <w:r w:rsidDel="00000000" w:rsidR="00000000" w:rsidRPr="00000000">
        <w:rPr>
          <w:rtl w:val="0"/>
        </w:rPr>
        <w:t xml:space="preserve"> Виконувати визначені обов'язки згідно з посадою.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Взаємодія:</w:t>
      </w:r>
      <w:r w:rsidDel="00000000" w:rsidR="00000000" w:rsidRPr="00000000">
        <w:rPr>
          <w:rtl w:val="0"/>
        </w:rPr>
        <w:t xml:space="preserve"> Співпрацювати з іншими членами команди для досягнення цілей компанії.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Навички:</w:t>
      </w:r>
      <w:r w:rsidDel="00000000" w:rsidR="00000000" w:rsidRPr="00000000">
        <w:rPr>
          <w:rtl w:val="0"/>
        </w:rPr>
        <w:t xml:space="preserve"> Розвивати професійні навички та знання у відповідній галузі.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nsm7luyu863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Заробітна плата та бонусна система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Заробітна плата:</w:t>
      </w:r>
      <w:r w:rsidDel="00000000" w:rsidR="00000000" w:rsidRPr="00000000">
        <w:rPr>
          <w:rtl w:val="0"/>
        </w:rPr>
        <w:t xml:space="preserve"> Конкурентна заробітна плата згідно з ринковими стандартами.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Бонуси:</w:t>
      </w:r>
      <w:r w:rsidDel="00000000" w:rsidR="00000000" w:rsidRPr="00000000">
        <w:rPr>
          <w:rtl w:val="0"/>
        </w:rPr>
        <w:t xml:space="preserve"> Залежні від досягнення ключових показників ефективності (KPI).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ux0qfq10rgh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Система опціонів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Опціони:</w:t>
      </w:r>
      <w:r w:rsidDel="00000000" w:rsidR="00000000" w:rsidRPr="00000000">
        <w:rPr>
          <w:rtl w:val="0"/>
        </w:rPr>
        <w:t xml:space="preserve"> Надаються як частина мотиваційного пакету для заохочення лояльності та відданості компанії.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ai7fgeb8x9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Розділ 3: Фаундери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mup88dupuep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Посадові інструкції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Стратегічне керівництво:</w:t>
      </w:r>
      <w:r w:rsidDel="00000000" w:rsidR="00000000" w:rsidRPr="00000000">
        <w:rPr>
          <w:rtl w:val="0"/>
        </w:rPr>
        <w:t xml:space="preserve"> Розробка та впровадження стратегій розвитку компанії.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Управління ресурсами:</w:t>
      </w:r>
      <w:r w:rsidDel="00000000" w:rsidR="00000000" w:rsidRPr="00000000">
        <w:rPr>
          <w:rtl w:val="0"/>
        </w:rPr>
        <w:t xml:space="preserve"> Ефективне використання ресурсів для досягнення цілей.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cutjdfyjx7c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Заробітна плата та бонусна система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Заробітна плата:</w:t>
      </w:r>
      <w:r w:rsidDel="00000000" w:rsidR="00000000" w:rsidRPr="00000000">
        <w:rPr>
          <w:rtl w:val="0"/>
        </w:rPr>
        <w:t xml:space="preserve"> Базова заробітна плата, що відображає відданість розвитку стартапу.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Бонуси:</w:t>
      </w:r>
      <w:r w:rsidDel="00000000" w:rsidR="00000000" w:rsidRPr="00000000">
        <w:rPr>
          <w:rtl w:val="0"/>
        </w:rPr>
        <w:t xml:space="preserve"> Залежні від виконання стратегічних цілей.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4mr3m62da85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Фаундер шерс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Акціонерний капітал:</w:t>
      </w:r>
      <w:r w:rsidDel="00000000" w:rsidR="00000000" w:rsidRPr="00000000">
        <w:rPr>
          <w:rtl w:val="0"/>
        </w:rPr>
        <w:t xml:space="preserve"> Значний пакет акцій компанії для стимулювання успіху.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mmvovveu2q2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Роудмап детальний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Стратегічний план:</w:t>
      </w:r>
      <w:r w:rsidDel="00000000" w:rsidR="00000000" w:rsidRPr="00000000">
        <w:rPr>
          <w:rtl w:val="0"/>
        </w:rPr>
        <w:t xml:space="preserve"> Опис стратегічних кроків для досягнення цілей на найближчі 3-5 років.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k7niv3sq1m0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Розділ 4: Рада Директорів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f3fl36k9icm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Посадові інструкції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Контроль та нагляд:</w:t>
      </w:r>
      <w:r w:rsidDel="00000000" w:rsidR="00000000" w:rsidRPr="00000000">
        <w:rPr>
          <w:rtl w:val="0"/>
        </w:rPr>
        <w:t xml:space="preserve"> Забезпечення ефективного керівництва та контролю над діяльністю компанії.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Розробка політик:</w:t>
      </w:r>
      <w:r w:rsidDel="00000000" w:rsidR="00000000" w:rsidRPr="00000000">
        <w:rPr>
          <w:rtl w:val="0"/>
        </w:rPr>
        <w:t xml:space="preserve"> Визначення корпоративних політик та процедур.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2j25ctz8ctt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Вартість акцій та дивіденди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Акції:</w:t>
      </w:r>
      <w:r w:rsidDel="00000000" w:rsidR="00000000" w:rsidRPr="00000000">
        <w:rPr>
          <w:rtl w:val="0"/>
        </w:rPr>
        <w:t xml:space="preserve"> Власність часток у компанії.</w:t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Дивіденди:</w:t>
      </w:r>
      <w:r w:rsidDel="00000000" w:rsidR="00000000" w:rsidRPr="00000000">
        <w:rPr>
          <w:rtl w:val="0"/>
        </w:rPr>
        <w:t xml:space="preserve"> Виплачуються згідно з політикою компанії.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ltye9f71d9k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Розділ 5: Інвестори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xjpn2hhvqwj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Посадові інструкції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Фінансовий нагляд:</w:t>
      </w:r>
      <w:r w:rsidDel="00000000" w:rsidR="00000000" w:rsidRPr="00000000">
        <w:rPr>
          <w:rtl w:val="0"/>
        </w:rPr>
        <w:t xml:space="preserve"> Оцінка фінансового стану компанії та перспектив її розвитку.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Консультативна роль:</w:t>
      </w:r>
      <w:r w:rsidDel="00000000" w:rsidR="00000000" w:rsidRPr="00000000">
        <w:rPr>
          <w:rtl w:val="0"/>
        </w:rPr>
        <w:t xml:space="preserve"> Надання стратегічних рекомендацій для забезпечення зростання.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7ivh5lxcusc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ROI та привілейовані акції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ROI (Return on Investment):</w:t>
      </w:r>
      <w:r w:rsidDel="00000000" w:rsidR="00000000" w:rsidRPr="00000000">
        <w:rPr>
          <w:rtl w:val="0"/>
        </w:rPr>
        <w:t xml:space="preserve"> Очікуваний дохід від інвестицій.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Привілейовані акції:</w:t>
      </w:r>
      <w:r w:rsidDel="00000000" w:rsidR="00000000" w:rsidRPr="00000000">
        <w:rPr>
          <w:rtl w:val="0"/>
        </w:rPr>
        <w:t xml:space="preserve"> Особливі права та переваги для інвесторів.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0hazf79typu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Роудмап загальний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Ознайомлення:</w:t>
      </w:r>
      <w:r w:rsidDel="00000000" w:rsidR="00000000" w:rsidRPr="00000000">
        <w:rPr>
          <w:rtl w:val="0"/>
        </w:rPr>
        <w:t xml:space="preserve"> Знання стратегічних планів для забезпечення прозорості.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4z283l1ur06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Розділ 6: NDA (Угода про нерозголошення інформації)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79ynx67dd8r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Мета NDA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Захист конфіденційної інформації компанії та запобігання її несанкціонованому розголошенню.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6vfq5wznjpi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Обов'язки сторін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Дотримання конфіденційності:</w:t>
      </w:r>
      <w:r w:rsidDel="00000000" w:rsidR="00000000" w:rsidRPr="00000000">
        <w:rPr>
          <w:rtl w:val="0"/>
        </w:rPr>
        <w:t xml:space="preserve"> Сторони зобов'язані зберігати таємницю всіх отриманих даних.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Обмеження розголошення:</w:t>
      </w:r>
      <w:r w:rsidDel="00000000" w:rsidR="00000000" w:rsidRPr="00000000">
        <w:rPr>
          <w:rtl w:val="0"/>
        </w:rPr>
        <w:t xml:space="preserve"> Забороняється розповсюдження конфіденційної інформації третім особам без згоди компанії.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9giipfzft48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Наслідки порушення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Штрафи та санкції:</w:t>
      </w:r>
      <w:r w:rsidDel="00000000" w:rsidR="00000000" w:rsidRPr="00000000">
        <w:rPr>
          <w:rtl w:val="0"/>
        </w:rPr>
        <w:t xml:space="preserve"> Порушення NDA може призвести до юридичних наслідків, включаючи штрафи та компенсацію збитків.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